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margin" w:tblpY="1171"/>
        <w:tblW w:w="14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8363"/>
      </w:tblGrid>
      <w:tr w:rsidR="00996163" w:rsidRPr="00021271" w:rsidTr="00021271">
        <w:tc>
          <w:tcPr>
            <w:tcW w:w="5948" w:type="dxa"/>
          </w:tcPr>
          <w:p w:rsidR="00021271" w:rsidRDefault="00996163" w:rsidP="00021271">
            <w:pPr>
              <w:tabs>
                <w:tab w:val="left" w:pos="6379"/>
              </w:tabs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4540B2">
              <w:rPr>
                <w:rFonts w:ascii="Times New Roman" w:hAnsi="Times New Roman" w:cs="Times New Roman"/>
                <w:b/>
                <w:sz w:val="24"/>
                <w:szCs w:val="24"/>
              </w:rPr>
              <w:t>БЕКІТЕМІН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21271" w:rsidRDefault="00021271" w:rsidP="00861039">
            <w:pPr>
              <w:tabs>
                <w:tab w:val="left" w:pos="6379"/>
              </w:tabs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«Астана қаласының </w:t>
            </w:r>
            <w:r w:rsidR="00996163" w:rsidRPr="00861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Білім</w:t>
            </w:r>
          </w:p>
          <w:p w:rsidR="00996163" w:rsidRPr="00861039" w:rsidRDefault="00996163" w:rsidP="00861039">
            <w:pPr>
              <w:tabs>
                <w:tab w:val="left" w:pos="6379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21271" w:rsidRPr="00861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</w:t>
            </w:r>
            <w:r w:rsidRPr="00861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асқармасы</w:t>
            </w:r>
            <w:r w:rsidR="00021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ММ </w:t>
            </w:r>
            <w:r w:rsidRPr="00861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басшысы </w:t>
            </w:r>
          </w:p>
          <w:p w:rsidR="00996163" w:rsidRPr="00A83D87" w:rsidRDefault="00996163" w:rsidP="00914426">
            <w:pPr>
              <w:spacing w:line="240" w:lineRule="auto"/>
              <w:ind w:right="2" w:firstLine="0"/>
              <w:jc w:val="left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</w:pPr>
            <w:r w:rsidRPr="00861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_______________</w:t>
            </w:r>
            <w:r w:rsidR="00021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Қ. Сенғ</w:t>
            </w:r>
            <w:r w:rsidR="00021271" w:rsidRPr="00716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азыев</w:t>
            </w:r>
          </w:p>
          <w:p w:rsidR="00996163" w:rsidRPr="00861039" w:rsidRDefault="00996163" w:rsidP="00914426">
            <w:pPr>
              <w:spacing w:line="240" w:lineRule="auto"/>
              <w:ind w:right="2" w:firstLine="0"/>
              <w:jc w:val="left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</w:pPr>
            <w:r w:rsidRPr="00861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«___» </w:t>
            </w:r>
            <w:r w:rsidR="00861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</w:t>
            </w:r>
            <w:r w:rsidRPr="00861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____________________</w:t>
            </w:r>
          </w:p>
          <w:p w:rsidR="00996163" w:rsidRPr="00861039" w:rsidRDefault="00996163" w:rsidP="00914426">
            <w:pPr>
              <w:spacing w:line="240" w:lineRule="auto"/>
              <w:ind w:right="2" w:firstLine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96163" w:rsidRPr="00861039" w:rsidRDefault="00996163" w:rsidP="00914426">
            <w:pPr>
              <w:spacing w:line="240" w:lineRule="auto"/>
              <w:ind w:right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</w:tcPr>
          <w:p w:rsidR="00996163" w:rsidRPr="00A83D87" w:rsidRDefault="00996163" w:rsidP="00914426">
            <w:pPr>
              <w:tabs>
                <w:tab w:val="left" w:pos="6379"/>
              </w:tabs>
              <w:spacing w:line="240" w:lineRule="auto"/>
              <w:ind w:left="41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</w:t>
            </w:r>
            <w:r w:rsidR="00021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527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7D74B4" w:rsidRDefault="00996163" w:rsidP="00021271">
            <w:pPr>
              <w:tabs>
                <w:tab w:val="left" w:pos="6379"/>
              </w:tabs>
              <w:spacing w:line="240" w:lineRule="auto"/>
              <w:ind w:left="3726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3D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</w:t>
            </w:r>
            <w:r w:rsidR="00021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Республикасы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83D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ыбайлас жемқорлыққа қарсы іс-қимыл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агенттігінің </w:t>
            </w:r>
            <w:r w:rsidR="00021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Астана қаласы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  <w:r w:rsidRPr="00A83D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департаменті</w:t>
            </w:r>
            <w:r w:rsidR="007D74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басшысының бірінші орынбасары </w:t>
            </w:r>
          </w:p>
          <w:p w:rsidR="00996163" w:rsidRPr="007D74B4" w:rsidRDefault="00021271" w:rsidP="00021271">
            <w:pPr>
              <w:tabs>
                <w:tab w:val="left" w:pos="6379"/>
              </w:tabs>
              <w:spacing w:line="240" w:lineRule="auto"/>
              <w:ind w:left="3726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_____________________ А.А. Агибаев </w:t>
            </w:r>
            <w:r w:rsidR="00996163" w:rsidRPr="007D74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«___» _______________________________</w:t>
            </w:r>
          </w:p>
        </w:tc>
      </w:tr>
    </w:tbl>
    <w:p w:rsidR="00926B2F" w:rsidRPr="00996163" w:rsidRDefault="00996163" w:rsidP="000212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26B2F" w:rsidRPr="007D74B4" w:rsidRDefault="00926B2F" w:rsidP="00926B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1BB9" w:rsidRPr="007D74B4" w:rsidRDefault="00461BB9" w:rsidP="00926B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1271" w:rsidRDefault="007D74B4" w:rsidP="009961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</w:t>
      </w:r>
      <w:r w:rsidR="00996163" w:rsidRPr="007D74B4">
        <w:rPr>
          <w:rFonts w:ascii="Times New Roman" w:hAnsi="Times New Roman" w:cs="Times New Roman"/>
          <w:b/>
          <w:sz w:val="28"/>
          <w:szCs w:val="24"/>
          <w:lang w:val="kk-KZ"/>
        </w:rPr>
        <w:t xml:space="preserve">астар арасында </w:t>
      </w:r>
      <w:r w:rsidR="00996163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996163" w:rsidRPr="007D74B4">
        <w:rPr>
          <w:rFonts w:ascii="Times New Roman" w:hAnsi="Times New Roman" w:cs="Times New Roman"/>
          <w:b/>
          <w:sz w:val="28"/>
          <w:szCs w:val="28"/>
          <w:lang w:val="kk-KZ"/>
        </w:rPr>
        <w:t>кадемиялық адалдықты ілгерілету бойынша</w:t>
      </w:r>
    </w:p>
    <w:p w:rsidR="00996163" w:rsidRPr="007D74B4" w:rsidRDefault="00021271" w:rsidP="000212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Астана қаласының </w:t>
      </w:r>
      <w:r w:rsidR="007D74B4" w:rsidRPr="007D74B4">
        <w:rPr>
          <w:rFonts w:ascii="Times New Roman" w:hAnsi="Times New Roman" w:cs="Times New Roman"/>
          <w:b/>
          <w:sz w:val="28"/>
          <w:szCs w:val="28"/>
          <w:lang w:val="kk-KZ"/>
        </w:rPr>
        <w:t>2025 жылға</w:t>
      </w:r>
      <w:r w:rsidR="007D74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арналған </w:t>
      </w:r>
    </w:p>
    <w:p w:rsidR="00996163" w:rsidRPr="00021271" w:rsidRDefault="00996163" w:rsidP="009961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271">
        <w:rPr>
          <w:rFonts w:ascii="Times New Roman" w:hAnsi="Times New Roman" w:cs="Times New Roman"/>
          <w:b/>
          <w:sz w:val="28"/>
          <w:szCs w:val="28"/>
          <w:lang w:val="kk-KZ"/>
        </w:rPr>
        <w:t>КЕШЕНДІ ЖОСПАР</w:t>
      </w:r>
    </w:p>
    <w:p w:rsidR="00996163" w:rsidRPr="00021271" w:rsidRDefault="00996163" w:rsidP="0099616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4"/>
          <w:lang w:val="kk-KZ"/>
        </w:rPr>
      </w:pPr>
      <w:r w:rsidRPr="0002127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«</w:t>
      </w:r>
      <w:r w:rsidRPr="0002127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Заң және тәртіп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»</w:t>
      </w:r>
      <w:r w:rsidRPr="0002127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идеологиясы аясында</w:t>
      </w:r>
      <w:r w:rsidRPr="00021271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926B2F" w:rsidRPr="00021271" w:rsidRDefault="00926B2F" w:rsidP="00926B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273"/>
        <w:gridCol w:w="3260"/>
        <w:gridCol w:w="1814"/>
        <w:gridCol w:w="2127"/>
        <w:gridCol w:w="1984"/>
      </w:tblGrid>
      <w:tr w:rsidR="007311BD" w:rsidRPr="004540B2" w:rsidTr="007311BD">
        <w:trPr>
          <w:trHeight w:val="734"/>
        </w:trPr>
        <w:tc>
          <w:tcPr>
            <w:tcW w:w="710" w:type="dxa"/>
          </w:tcPr>
          <w:p w:rsidR="007311BD" w:rsidRPr="00C82816" w:rsidRDefault="007311BD" w:rsidP="00914426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7311BD" w:rsidRPr="00C82816" w:rsidRDefault="007311BD" w:rsidP="00914426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р/с</w:t>
            </w:r>
          </w:p>
        </w:tc>
        <w:tc>
          <w:tcPr>
            <w:tcW w:w="5273" w:type="dxa"/>
          </w:tcPr>
          <w:p w:rsidR="007311BD" w:rsidRPr="004540B2" w:rsidRDefault="007311BD" w:rsidP="00914426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45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с-</w:t>
            </w:r>
            <w:proofErr w:type="spellStart"/>
            <w:r w:rsidRPr="0045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шаралар</w:t>
            </w:r>
            <w:proofErr w:type="spellEnd"/>
            <w:r w:rsidRPr="0045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</w:t>
            </w:r>
            <w:proofErr w:type="spellStart"/>
            <w:r w:rsidRPr="0045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тауы</w:t>
            </w:r>
            <w:proofErr w:type="spellEnd"/>
          </w:p>
          <w:p w:rsidR="007311BD" w:rsidRPr="004540B2" w:rsidRDefault="007311BD" w:rsidP="00914426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311BD" w:rsidRPr="00A83D87" w:rsidRDefault="007311BD" w:rsidP="00914426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</w:t>
            </w:r>
            <w:proofErr w:type="spellStart"/>
            <w:r w:rsidRPr="0045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яқта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Pr="0045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</w:t>
            </w:r>
            <w:proofErr w:type="spellStart"/>
            <w:r w:rsidRPr="0045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ысан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  <w:p w:rsidR="007311BD" w:rsidRPr="004540B2" w:rsidRDefault="007311BD" w:rsidP="00914426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7311BD" w:rsidRPr="003F6BC8" w:rsidRDefault="007311BD" w:rsidP="003F6BC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мерзі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7" w:type="dxa"/>
          </w:tcPr>
          <w:p w:rsidR="007311BD" w:rsidRPr="004540B2" w:rsidRDefault="007311BD" w:rsidP="00914426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Жауапты</w:t>
            </w:r>
            <w:proofErr w:type="spellEnd"/>
            <w:r w:rsidRPr="0045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орындаушылар</w:t>
            </w:r>
            <w:proofErr w:type="spellEnd"/>
          </w:p>
        </w:tc>
        <w:tc>
          <w:tcPr>
            <w:tcW w:w="1984" w:type="dxa"/>
          </w:tcPr>
          <w:p w:rsidR="007311BD" w:rsidRPr="004540B2" w:rsidRDefault="007311BD" w:rsidP="00914426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</w:t>
            </w:r>
            <w:proofErr w:type="spellStart"/>
            <w:r w:rsidRPr="00731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скерту</w:t>
            </w:r>
            <w:proofErr w:type="spellEnd"/>
          </w:p>
        </w:tc>
      </w:tr>
      <w:tr w:rsidR="007311BD" w:rsidRPr="004540B2" w:rsidTr="007311BD">
        <w:trPr>
          <w:trHeight w:val="734"/>
        </w:trPr>
        <w:tc>
          <w:tcPr>
            <w:tcW w:w="710" w:type="dxa"/>
          </w:tcPr>
          <w:p w:rsidR="007311BD" w:rsidRPr="00C82816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73" w:type="dxa"/>
          </w:tcPr>
          <w:p w:rsidR="007311BD" w:rsidRPr="004540B2" w:rsidRDefault="007311BD" w:rsidP="0013470C">
            <w:pPr>
              <w:spacing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басшыларымен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ұжыммен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жемқорлыққа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заңнама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семинарлар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сапасының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стандарттары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адалдық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қағидаттарын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оқытуды</w:t>
            </w:r>
            <w:proofErr w:type="spellEnd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30">
              <w:rPr>
                <w:rFonts w:ascii="Times New Roman" w:hAnsi="Times New Roman" w:cs="Times New Roman"/>
                <w:sz w:val="24"/>
                <w:szCs w:val="24"/>
              </w:rPr>
              <w:t>көздеу</w:t>
            </w:r>
            <w:proofErr w:type="spellEnd"/>
          </w:p>
        </w:tc>
        <w:tc>
          <w:tcPr>
            <w:tcW w:w="3260" w:type="dxa"/>
            <w:vMerge w:val="restart"/>
          </w:tcPr>
          <w:p w:rsidR="007311BD" w:rsidRPr="00B97A62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СЖҚІҚАД</w:t>
            </w:r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беру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мекемелерінің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тізбесін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басқармасының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орта,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техникалық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кәсіптік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беру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ұйымдарының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ресми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интернет-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ресурстарында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әлеуметтік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желілерінің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беттерінде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орналастырылған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жарияланымдарды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көрсете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отырып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тармақтардың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орындалуы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1814" w:type="dxa"/>
            <w:vMerge w:val="restart"/>
          </w:tcPr>
          <w:p w:rsidR="007311BD" w:rsidRPr="0069365A" w:rsidRDefault="007311BD" w:rsidP="00737030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943E4">
              <w:rPr>
                <w:rFonts w:ascii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Pr="0049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3E4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4943E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4943E4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127" w:type="dxa"/>
            <w:vMerge w:val="restart"/>
          </w:tcPr>
          <w:p w:rsidR="007311BD" w:rsidRDefault="007311BD" w:rsidP="00737030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70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Білім басқармасы, </w:t>
            </w:r>
          </w:p>
          <w:p w:rsidR="007311BD" w:rsidRPr="00737030" w:rsidRDefault="007311BD" w:rsidP="00737030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70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ұйымдары,</w:t>
            </w:r>
          </w:p>
          <w:p w:rsidR="007311BD" w:rsidRPr="00737030" w:rsidRDefault="007311BD" w:rsidP="00737030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F6B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СЖҚІҚАД</w:t>
            </w:r>
          </w:p>
        </w:tc>
        <w:tc>
          <w:tcPr>
            <w:tcW w:w="1984" w:type="dxa"/>
            <w:vMerge w:val="restart"/>
          </w:tcPr>
          <w:p w:rsidR="007311BD" w:rsidRPr="00737030" w:rsidRDefault="007311BD" w:rsidP="00737030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Кестеге сәйкес</w:t>
            </w:r>
          </w:p>
        </w:tc>
      </w:tr>
      <w:tr w:rsidR="007311BD" w:rsidRPr="00021271" w:rsidTr="007311BD">
        <w:trPr>
          <w:trHeight w:val="734"/>
        </w:trPr>
        <w:tc>
          <w:tcPr>
            <w:tcW w:w="710" w:type="dxa"/>
          </w:tcPr>
          <w:p w:rsidR="007311BD" w:rsidRPr="00C82816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5273" w:type="dxa"/>
          </w:tcPr>
          <w:p w:rsidR="007311BD" w:rsidRPr="009A67E8" w:rsidRDefault="007311BD" w:rsidP="0069365A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этикаға</w:t>
            </w:r>
            <w:proofErr w:type="spellEnd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аймақтық</w:t>
            </w:r>
            <w:proofErr w:type="spellEnd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бағдарламаларға</w:t>
            </w:r>
            <w:proofErr w:type="spellEnd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</w:p>
        </w:tc>
        <w:tc>
          <w:tcPr>
            <w:tcW w:w="3260" w:type="dxa"/>
            <w:vMerge/>
          </w:tcPr>
          <w:p w:rsidR="007311BD" w:rsidRPr="004540B2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7311BD" w:rsidRPr="009211A1" w:rsidRDefault="007311BD" w:rsidP="004943E4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7311BD" w:rsidRPr="00604458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7311BD" w:rsidRPr="00604458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311BD" w:rsidRPr="004540B2" w:rsidTr="007311BD">
        <w:trPr>
          <w:trHeight w:val="734"/>
        </w:trPr>
        <w:tc>
          <w:tcPr>
            <w:tcW w:w="710" w:type="dxa"/>
          </w:tcPr>
          <w:p w:rsidR="007311BD" w:rsidRPr="00C82816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5273" w:type="dxa"/>
          </w:tcPr>
          <w:p w:rsidR="007311BD" w:rsidRPr="00926B2F" w:rsidRDefault="007311BD" w:rsidP="004A2B1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адалдық</w:t>
            </w:r>
            <w:proofErr w:type="spellEnd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</w:t>
            </w:r>
            <w:proofErr w:type="gramStart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енгізілген</w:t>
            </w:r>
            <w:proofErr w:type="spellEnd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мектептермен</w:t>
            </w:r>
            <w:proofErr w:type="spellEnd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</w:t>
            </w:r>
            <w:proofErr w:type="spellEnd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алмасуды</w:t>
            </w:r>
            <w:proofErr w:type="spellEnd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</w:p>
        </w:tc>
        <w:tc>
          <w:tcPr>
            <w:tcW w:w="3260" w:type="dxa"/>
            <w:vMerge/>
          </w:tcPr>
          <w:p w:rsidR="007311BD" w:rsidRPr="004540B2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7311BD" w:rsidRPr="004540B2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311BD" w:rsidRPr="004540B2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311BD" w:rsidRPr="004540B2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311BD" w:rsidRPr="004540B2" w:rsidTr="007311BD">
        <w:trPr>
          <w:trHeight w:val="734"/>
        </w:trPr>
        <w:tc>
          <w:tcPr>
            <w:tcW w:w="710" w:type="dxa"/>
          </w:tcPr>
          <w:p w:rsidR="007311BD" w:rsidRPr="00C82816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5273" w:type="dxa"/>
          </w:tcPr>
          <w:p w:rsidR="007311BD" w:rsidRPr="009A67E8" w:rsidRDefault="007311BD" w:rsidP="0069365A">
            <w:pPr>
              <w:spacing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B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оның маңыздылығы тақырыбында ашық сабақтар мен тренингтер өткізу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A2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туденттер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оқытушылар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адалдықтың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тәжірибесімен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бөлісетін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ұйымдары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алмасу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алаңдарын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3260" w:type="dxa"/>
            <w:vMerge/>
          </w:tcPr>
          <w:p w:rsidR="007311BD" w:rsidRPr="004540B2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7311BD" w:rsidRPr="004540B2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311BD" w:rsidRPr="004540B2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311BD" w:rsidRPr="004540B2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311BD" w:rsidRPr="004540B2" w:rsidTr="007311BD">
        <w:trPr>
          <w:trHeight w:val="718"/>
        </w:trPr>
        <w:tc>
          <w:tcPr>
            <w:tcW w:w="710" w:type="dxa"/>
          </w:tcPr>
          <w:p w:rsidR="007311BD" w:rsidRPr="00C82816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273" w:type="dxa"/>
          </w:tcPr>
          <w:p w:rsidR="007311BD" w:rsidRPr="009A67E8" w:rsidRDefault="007311BD" w:rsidP="004A2B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ұйымдарында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заң</w:t>
            </w:r>
            <w:proofErr w:type="gram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сыз</w:t>
            </w:r>
            <w:proofErr w:type="spellEnd"/>
            <w:proofErr w:type="gram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ақшалай қаражат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бұйрықты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жариялау</w:t>
            </w:r>
            <w:proofErr w:type="spellEnd"/>
          </w:p>
        </w:tc>
        <w:tc>
          <w:tcPr>
            <w:tcW w:w="3260" w:type="dxa"/>
            <w:vMerge w:val="restart"/>
          </w:tcPr>
          <w:p w:rsidR="007311BD" w:rsidRPr="004A2B1A" w:rsidRDefault="007311BD" w:rsidP="004A2B1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Ресми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интернет-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ресурстарда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әлеуметтік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желілер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беттерінде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орналастырылғ</w:t>
            </w:r>
            <w:proofErr w:type="gram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ұйрық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мәтініне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сілтеме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7311BD" w:rsidRPr="004A2B1A" w:rsidRDefault="007311BD" w:rsidP="004A2B1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басқармалары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техникалық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әсіптік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беру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ұйымдары</w:t>
            </w:r>
            <w:proofErr w:type="spellEnd"/>
          </w:p>
          <w:p w:rsidR="007311BD" w:rsidRPr="004540B2" w:rsidRDefault="007311BD" w:rsidP="00330F47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СЖҚІҚАД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мекенжайына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беру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мекемелерінің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тізбесін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көрсете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отырып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тармақтардың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орындалуы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жиынтық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ақпарат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буклеттің</w:t>
            </w:r>
            <w:proofErr w:type="spellEnd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2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эскизі</w:t>
            </w:r>
            <w:proofErr w:type="spellEnd"/>
          </w:p>
        </w:tc>
        <w:tc>
          <w:tcPr>
            <w:tcW w:w="1814" w:type="dxa"/>
            <w:vMerge w:val="restart"/>
          </w:tcPr>
          <w:p w:rsidR="007311BD" w:rsidRPr="003534E3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тоқсан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11BD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11BD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11BD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11BD" w:rsidRPr="004943E4" w:rsidRDefault="007311BD" w:rsidP="00330F47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  <w:p w:rsidR="007311BD" w:rsidRDefault="007311BD" w:rsidP="003534E3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311BD" w:rsidRDefault="007311BD" w:rsidP="003534E3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311BD" w:rsidRPr="004943E4" w:rsidRDefault="007311BD" w:rsidP="003534E3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  <w:p w:rsidR="007311BD" w:rsidRDefault="007311BD" w:rsidP="003534E3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11BD" w:rsidRPr="004540B2" w:rsidRDefault="007311BD" w:rsidP="0069365A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7311BD" w:rsidRDefault="007311BD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70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Білім басқармасы, </w:t>
            </w:r>
          </w:p>
          <w:p w:rsidR="007311BD" w:rsidRPr="00737030" w:rsidRDefault="007311BD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70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ұйымдары,</w:t>
            </w:r>
          </w:p>
          <w:p w:rsidR="007311BD" w:rsidRPr="004540B2" w:rsidRDefault="007311BD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СЖҚІҚАД</w:t>
            </w:r>
          </w:p>
        </w:tc>
        <w:tc>
          <w:tcPr>
            <w:tcW w:w="1984" w:type="dxa"/>
            <w:vMerge w:val="restart"/>
          </w:tcPr>
          <w:p w:rsidR="007311BD" w:rsidRPr="00737030" w:rsidRDefault="00D744A9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22C4D">
              <w:rPr>
                <w:rFonts w:ascii="Times New Roman" w:eastAsia="Calibri" w:hAnsi="Times New Roman" w:cs="Times New Roman"/>
                <w:sz w:val="24"/>
                <w:szCs w:val="24"/>
              </w:rPr>
              <w:t>Буклеттерді</w:t>
            </w:r>
            <w:proofErr w:type="spellEnd"/>
            <w:r w:rsidRPr="00D22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eastAsia="Calibri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D22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D22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eastAsia="Calibri" w:hAnsi="Times New Roman" w:cs="Times New Roman"/>
                <w:sz w:val="24"/>
                <w:szCs w:val="24"/>
              </w:rPr>
              <w:t>тарату</w:t>
            </w:r>
            <w:proofErr w:type="spellEnd"/>
          </w:p>
        </w:tc>
      </w:tr>
      <w:tr w:rsidR="007311BD" w:rsidRPr="004540B2" w:rsidTr="007311BD">
        <w:trPr>
          <w:trHeight w:val="1060"/>
        </w:trPr>
        <w:tc>
          <w:tcPr>
            <w:tcW w:w="710" w:type="dxa"/>
          </w:tcPr>
          <w:p w:rsidR="007311BD" w:rsidRPr="00C82816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5273" w:type="dxa"/>
          </w:tcPr>
          <w:p w:rsidR="007311BD" w:rsidRPr="004540B2" w:rsidRDefault="007311BD" w:rsidP="0069365A">
            <w:pPr>
              <w:spacing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жиналысын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заңсыз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ақшалай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жинаудың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3260" w:type="dxa"/>
            <w:vMerge/>
          </w:tcPr>
          <w:p w:rsidR="007311BD" w:rsidRPr="003534E3" w:rsidRDefault="007311BD" w:rsidP="0069365A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vMerge/>
          </w:tcPr>
          <w:p w:rsidR="007311BD" w:rsidRPr="004540B2" w:rsidRDefault="007311BD" w:rsidP="0069365A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311BD" w:rsidRPr="004540B2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311BD" w:rsidRPr="004540B2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311BD" w:rsidRPr="004540B2" w:rsidTr="007311BD">
        <w:trPr>
          <w:trHeight w:val="734"/>
        </w:trPr>
        <w:tc>
          <w:tcPr>
            <w:tcW w:w="710" w:type="dxa"/>
          </w:tcPr>
          <w:p w:rsidR="007311BD" w:rsidRPr="00C82816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5273" w:type="dxa"/>
          </w:tcPr>
          <w:p w:rsidR="007311BD" w:rsidRPr="00926B2F" w:rsidRDefault="007311BD" w:rsidP="0069365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алаяқтық</w:t>
            </w:r>
            <w:proofErr w:type="spellEnd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салдарларының</w:t>
            </w:r>
            <w:proofErr w:type="spellEnd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мысалдарымен</w:t>
            </w:r>
            <w:proofErr w:type="spellEnd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интерактивті</w:t>
            </w:r>
            <w:proofErr w:type="spellEnd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</w:t>
            </w:r>
            <w:proofErr w:type="gramStart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істер</w:t>
            </w:r>
            <w:proofErr w:type="spellEnd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(плагиат,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көшіру</w:t>
            </w:r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деректерді</w:t>
            </w:r>
            <w:proofErr w:type="spellEnd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</w:t>
            </w:r>
            <w:proofErr w:type="spellEnd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75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vMerge/>
          </w:tcPr>
          <w:p w:rsidR="007311BD" w:rsidRPr="004540B2" w:rsidRDefault="007311BD" w:rsidP="0069365A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7311BD" w:rsidRPr="004540B2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311BD" w:rsidRPr="004540B2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311BD" w:rsidRPr="004540B2" w:rsidRDefault="007311BD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44A9" w:rsidRPr="009A67E8" w:rsidTr="007311BD">
        <w:trPr>
          <w:trHeight w:val="573"/>
        </w:trPr>
        <w:tc>
          <w:tcPr>
            <w:tcW w:w="710" w:type="dxa"/>
          </w:tcPr>
          <w:p w:rsidR="00D744A9" w:rsidRPr="009A67E8" w:rsidRDefault="00D744A9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73" w:type="dxa"/>
          </w:tcPr>
          <w:p w:rsidR="00D744A9" w:rsidRPr="009A67E8" w:rsidRDefault="00D744A9" w:rsidP="0069365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ұйымдарында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кейстерді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плагиаттың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алаяқтықтың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жағдайлары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жариялай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жемқорлыққа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стендтерді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жаңарту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оларда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оқушыларға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мінез-құлықтың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салдарын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ситуациялық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міндеттерді</w:t>
            </w:r>
            <w:proofErr w:type="spellEnd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9B">
              <w:rPr>
                <w:rFonts w:ascii="Times New Roman" w:hAnsi="Times New Roman" w:cs="Times New Roman"/>
                <w:sz w:val="24"/>
                <w:szCs w:val="24"/>
              </w:rPr>
              <w:t>көздеу</w:t>
            </w:r>
            <w:proofErr w:type="spellEnd"/>
          </w:p>
        </w:tc>
        <w:tc>
          <w:tcPr>
            <w:tcW w:w="3260" w:type="dxa"/>
            <w:vMerge w:val="restart"/>
          </w:tcPr>
          <w:p w:rsidR="00D744A9" w:rsidRPr="004540B2" w:rsidRDefault="00D744A9" w:rsidP="0069365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СЖҚІҚАД</w:t>
            </w:r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беру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мекемелерінің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тізбесін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стенд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эскизін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электрондық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брошюраны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көрсете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отырып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тармақтардың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орындалуы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жиынтық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1814" w:type="dxa"/>
            <w:vMerge w:val="restart"/>
          </w:tcPr>
          <w:p w:rsidR="00D744A9" w:rsidRPr="004943E4" w:rsidRDefault="00D744A9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127" w:type="dxa"/>
            <w:vMerge w:val="restart"/>
          </w:tcPr>
          <w:p w:rsidR="00D744A9" w:rsidRDefault="00D744A9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70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Білім басқармасы, </w:t>
            </w:r>
          </w:p>
          <w:p w:rsidR="00D744A9" w:rsidRPr="00737030" w:rsidRDefault="00D744A9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70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ұйымдары,</w:t>
            </w:r>
          </w:p>
          <w:p w:rsidR="00D744A9" w:rsidRPr="009A67E8" w:rsidRDefault="00D744A9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0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СЖҚІҚАД</w:t>
            </w:r>
          </w:p>
        </w:tc>
        <w:tc>
          <w:tcPr>
            <w:tcW w:w="1984" w:type="dxa"/>
            <w:vMerge w:val="restart"/>
          </w:tcPr>
          <w:p w:rsidR="00D744A9" w:rsidRPr="00737030" w:rsidRDefault="00D744A9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D22C4D">
              <w:rPr>
                <w:rFonts w:ascii="Times New Roman" w:eastAsia="Calibri" w:hAnsi="Times New Roman" w:cs="Times New Roman"/>
                <w:sz w:val="24"/>
                <w:szCs w:val="24"/>
              </w:rPr>
              <w:t>скиздердің</w:t>
            </w:r>
            <w:proofErr w:type="spellEnd"/>
            <w:r w:rsidRPr="00D22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eastAsia="Calibri" w:hAnsi="Times New Roman" w:cs="Times New Roman"/>
                <w:sz w:val="24"/>
                <w:szCs w:val="24"/>
              </w:rPr>
              <w:t>біркелкілігі</w:t>
            </w:r>
            <w:proofErr w:type="spellEnd"/>
          </w:p>
        </w:tc>
      </w:tr>
      <w:tr w:rsidR="00D744A9" w:rsidRPr="009A67E8" w:rsidTr="007311BD">
        <w:trPr>
          <w:trHeight w:val="734"/>
        </w:trPr>
        <w:tc>
          <w:tcPr>
            <w:tcW w:w="710" w:type="dxa"/>
          </w:tcPr>
          <w:p w:rsidR="00D744A9" w:rsidRPr="009A67E8" w:rsidRDefault="00D744A9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5273" w:type="dxa"/>
          </w:tcPr>
          <w:p w:rsidR="00D744A9" w:rsidRPr="003534E3" w:rsidRDefault="00D744A9" w:rsidP="0069365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F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 жағдайлары арқылы адалдықтың құндылығы түсіндірілетін бастауыш сынып оқушыларына арналған ойындар мен ертегі терапиясын өткізу</w:t>
            </w:r>
          </w:p>
        </w:tc>
        <w:tc>
          <w:tcPr>
            <w:tcW w:w="3260" w:type="dxa"/>
            <w:vMerge/>
          </w:tcPr>
          <w:p w:rsidR="00D744A9" w:rsidRPr="009A67E8" w:rsidRDefault="00D744A9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744A9" w:rsidRPr="009A67E8" w:rsidRDefault="00D744A9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744A9" w:rsidRPr="009A67E8" w:rsidRDefault="00D744A9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744A9" w:rsidRPr="009A67E8" w:rsidRDefault="00D744A9" w:rsidP="0069365A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44A9" w:rsidRPr="00991706" w:rsidTr="007311BD">
        <w:trPr>
          <w:trHeight w:val="734"/>
        </w:trPr>
        <w:tc>
          <w:tcPr>
            <w:tcW w:w="710" w:type="dxa"/>
          </w:tcPr>
          <w:p w:rsidR="00D744A9" w:rsidRPr="00330F47" w:rsidRDefault="00D744A9" w:rsidP="00330F47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A6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273" w:type="dxa"/>
          </w:tcPr>
          <w:p w:rsidR="00D744A9" w:rsidRPr="00991706" w:rsidRDefault="00D744A9" w:rsidP="0031077E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17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әңгімелер, адалдық туралы суреттер жасайтын шығармашылық шеберханаларды ұйымдастыру</w:t>
            </w:r>
          </w:p>
        </w:tc>
        <w:tc>
          <w:tcPr>
            <w:tcW w:w="3260" w:type="dxa"/>
            <w:vMerge/>
          </w:tcPr>
          <w:p w:rsidR="00D744A9" w:rsidRPr="00991706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vMerge/>
          </w:tcPr>
          <w:p w:rsidR="00D744A9" w:rsidRPr="00991706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D744A9" w:rsidRPr="00991706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D744A9" w:rsidRPr="00991706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744A9" w:rsidRPr="00991706" w:rsidTr="007311BD">
        <w:trPr>
          <w:trHeight w:val="734"/>
        </w:trPr>
        <w:tc>
          <w:tcPr>
            <w:tcW w:w="710" w:type="dxa"/>
          </w:tcPr>
          <w:p w:rsidR="00D744A9" w:rsidRPr="00330F47" w:rsidRDefault="00D744A9" w:rsidP="00330F47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A6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273" w:type="dxa"/>
          </w:tcPr>
          <w:p w:rsidR="00D744A9" w:rsidRPr="00991706" w:rsidRDefault="00D744A9" w:rsidP="00C42D43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917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өшіруге</w:t>
            </w:r>
            <w:r w:rsidRPr="009917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жүгінбеуі үшін емтихандар алдында стресс деңгейін төмендетуге бағытталған іс-шараларды енгізу</w:t>
            </w:r>
          </w:p>
        </w:tc>
        <w:tc>
          <w:tcPr>
            <w:tcW w:w="3260" w:type="dxa"/>
            <w:vMerge/>
          </w:tcPr>
          <w:p w:rsidR="00D744A9" w:rsidRPr="00991706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vMerge/>
          </w:tcPr>
          <w:p w:rsidR="00D744A9" w:rsidRPr="00991706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D744A9" w:rsidRPr="00991706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D744A9" w:rsidRPr="00991706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744A9" w:rsidRPr="009A67E8" w:rsidTr="007311BD">
        <w:trPr>
          <w:trHeight w:val="278"/>
        </w:trPr>
        <w:tc>
          <w:tcPr>
            <w:tcW w:w="710" w:type="dxa"/>
          </w:tcPr>
          <w:p w:rsidR="00D744A9" w:rsidRPr="009A67E8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73" w:type="dxa"/>
          </w:tcPr>
          <w:p w:rsidR="00D744A9" w:rsidRPr="009A67E8" w:rsidRDefault="00D744A9" w:rsidP="00C42D43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>ұйымдарындағы</w:t>
            </w:r>
            <w:proofErr w:type="spellEnd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>Adal</w:t>
            </w:r>
            <w:proofErr w:type="spellEnd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>urpaq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C42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>ерікті</w:t>
            </w:r>
            <w:proofErr w:type="spellEnd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>клубтары</w:t>
            </w:r>
            <w:proofErr w:type="spellEnd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42D43">
              <w:rPr>
                <w:rFonts w:ascii="Times New Roman" w:hAnsi="Times New Roman" w:cs="Times New Roman"/>
                <w:sz w:val="24"/>
                <w:szCs w:val="24"/>
              </w:rPr>
              <w:t xml:space="preserve">SANALY </w:t>
            </w:r>
            <w:proofErr w:type="spellStart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>urpaq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C42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>студенттік</w:t>
            </w:r>
            <w:proofErr w:type="spellEnd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>клубтарының</w:t>
            </w:r>
            <w:proofErr w:type="spellEnd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proofErr w:type="spellEnd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D43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3260" w:type="dxa"/>
            <w:vMerge w:val="restart"/>
          </w:tcPr>
          <w:p w:rsidR="00D744A9" w:rsidRPr="009A67E8" w:rsidRDefault="00D744A9" w:rsidP="003107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СЖҚІҚАД</w:t>
            </w:r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атына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беру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мекемелерінің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тізбесін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көрсете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отырып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тармақтардың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орындалуы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жиынты</w:t>
            </w:r>
            <w:proofErr w:type="gram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</w:t>
            </w:r>
            <w:proofErr w:type="spellEnd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1814" w:type="dxa"/>
            <w:vMerge w:val="restart"/>
          </w:tcPr>
          <w:p w:rsidR="00D744A9" w:rsidRPr="009A67E8" w:rsidRDefault="00D744A9" w:rsidP="00D22C4D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Тоқсан сайын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D744A9" w:rsidRDefault="00D744A9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70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Білім басқармасы, </w:t>
            </w:r>
          </w:p>
          <w:p w:rsidR="00D744A9" w:rsidRPr="00737030" w:rsidRDefault="00D744A9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70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ұйымдары,</w:t>
            </w:r>
          </w:p>
          <w:p w:rsidR="00D744A9" w:rsidRPr="009A67E8" w:rsidRDefault="00D744A9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СЖҚІҚАД</w:t>
            </w:r>
          </w:p>
        </w:tc>
        <w:tc>
          <w:tcPr>
            <w:tcW w:w="1984" w:type="dxa"/>
            <w:vMerge w:val="restart"/>
          </w:tcPr>
          <w:p w:rsidR="00D744A9" w:rsidRPr="00737030" w:rsidRDefault="00D744A9" w:rsidP="00D744A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>кесте</w:t>
            </w:r>
            <w:proofErr w:type="spellEnd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ресімдеу</w:t>
            </w:r>
            <w:proofErr w:type="spellEnd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кестеде оқу орынның атауы,</w:t>
            </w:r>
            <w:r w:rsidRPr="00D2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>клубтың</w:t>
            </w:r>
            <w:proofErr w:type="spellEnd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 xml:space="preserve"> бар-</w:t>
            </w:r>
            <w:proofErr w:type="spellStart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>жоғын</w:t>
            </w:r>
            <w:proofErr w:type="spellEnd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>басшының</w:t>
            </w:r>
            <w:proofErr w:type="spellEnd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>куратордың</w:t>
            </w:r>
            <w:proofErr w:type="spellEnd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>деректерін</w:t>
            </w:r>
            <w:proofErr w:type="spellEnd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>аты-жөні</w:t>
            </w:r>
            <w:proofErr w:type="spellEnd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 xml:space="preserve">, телефон </w:t>
            </w:r>
            <w:proofErr w:type="spellStart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2C4D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керек</w:t>
            </w:r>
          </w:p>
        </w:tc>
      </w:tr>
      <w:tr w:rsidR="00D744A9" w:rsidRPr="009C7696" w:rsidTr="007311BD">
        <w:trPr>
          <w:trHeight w:val="278"/>
        </w:trPr>
        <w:tc>
          <w:tcPr>
            <w:tcW w:w="710" w:type="dxa"/>
          </w:tcPr>
          <w:p w:rsidR="00D744A9" w:rsidRPr="009A67E8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5273" w:type="dxa"/>
          </w:tcPr>
          <w:p w:rsidR="00D744A9" w:rsidRDefault="00D744A9" w:rsidP="00233B25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Департамент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басшылығымен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>Adal</w:t>
            </w:r>
            <w:proofErr w:type="spellEnd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>urpaq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>клубтарының</w:t>
            </w:r>
            <w:proofErr w:type="spellEnd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SANALY </w:t>
            </w:r>
            <w:proofErr w:type="spellStart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>urpaq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>студенттік</w:t>
            </w:r>
            <w:proofErr w:type="spellEnd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клубтарының</w:t>
            </w:r>
            <w:proofErr w:type="spellEnd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>көшбасшыларының</w:t>
            </w:r>
            <w:proofErr w:type="spellEnd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>басшыларының</w:t>
            </w:r>
            <w:proofErr w:type="spellEnd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>слетін</w:t>
            </w:r>
            <w:proofErr w:type="spellEnd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>кездесулерін</w:t>
            </w:r>
            <w:proofErr w:type="spellEnd"/>
            <w:r w:rsidRPr="00233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744A9" w:rsidRPr="009C7696" w:rsidRDefault="00D744A9" w:rsidP="00233B25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6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</w:tc>
        <w:tc>
          <w:tcPr>
            <w:tcW w:w="3260" w:type="dxa"/>
            <w:vMerge/>
          </w:tcPr>
          <w:p w:rsidR="00D744A9" w:rsidRPr="009C7696" w:rsidRDefault="00D744A9" w:rsidP="0031077E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vMerge/>
          </w:tcPr>
          <w:p w:rsidR="00D744A9" w:rsidRPr="009C7696" w:rsidRDefault="00D744A9" w:rsidP="0031077E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D744A9" w:rsidRPr="009C7696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D744A9" w:rsidRPr="009C7696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44A9" w:rsidRPr="009A67E8" w:rsidTr="007311BD">
        <w:trPr>
          <w:trHeight w:val="1428"/>
        </w:trPr>
        <w:tc>
          <w:tcPr>
            <w:tcW w:w="710" w:type="dxa"/>
          </w:tcPr>
          <w:p w:rsidR="00D744A9" w:rsidRPr="009A67E8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273" w:type="dxa"/>
          </w:tcPr>
          <w:p w:rsidR="00D744A9" w:rsidRPr="00366A6A" w:rsidRDefault="00D744A9" w:rsidP="00D73A00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педагогтер </w:t>
            </w:r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арасында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</w:t>
            </w:r>
            <w:proofErr w:type="gram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құлықпен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қаншалықты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жиі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кездесетіні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жұмысты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бағалайтыны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мерзімді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анонимді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сауалнамалар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</w:p>
        </w:tc>
        <w:tc>
          <w:tcPr>
            <w:tcW w:w="3260" w:type="dxa"/>
            <w:vMerge w:val="restart"/>
          </w:tcPr>
          <w:p w:rsidR="00D744A9" w:rsidRPr="00366A6A" w:rsidRDefault="00D744A9" w:rsidP="009C7696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6A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Білім басқармасының ресми интернет-ресурсында орналастырылған талдау қорытындылары бойынша талдамалық анықтамаға сілтеме </w:t>
            </w:r>
          </w:p>
          <w:p w:rsidR="00D744A9" w:rsidRPr="00861039" w:rsidRDefault="00D744A9" w:rsidP="009C7696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10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Анықталған сыбайлас жемқорлық тәуекелдерін жою бойынша бекітілген іске асыру жоспары</w:t>
            </w:r>
          </w:p>
          <w:p w:rsidR="00D744A9" w:rsidRPr="00861039" w:rsidRDefault="00D744A9" w:rsidP="00366A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СЖҚІҚАД</w:t>
            </w:r>
            <w:r w:rsidRPr="008610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білім беру мекемелерінің тізбесін көрсете отырып, тармақтардың орындалуы туралы жиынтық ақпарат</w:t>
            </w:r>
          </w:p>
        </w:tc>
        <w:tc>
          <w:tcPr>
            <w:tcW w:w="1814" w:type="dxa"/>
            <w:vMerge w:val="restart"/>
          </w:tcPr>
          <w:p w:rsidR="00D744A9" w:rsidRPr="00366A6A" w:rsidRDefault="00D744A9" w:rsidP="0031077E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  <w:p w:rsidR="00D744A9" w:rsidRDefault="00D744A9" w:rsidP="00D73A0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744A9" w:rsidRPr="00D73A00" w:rsidRDefault="00D744A9" w:rsidP="00D73A0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744A9" w:rsidRDefault="00D744A9" w:rsidP="0031077E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4A9" w:rsidRDefault="00D744A9" w:rsidP="0031077E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4A9" w:rsidRDefault="00D744A9" w:rsidP="0031077E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4A9" w:rsidRPr="00366A6A" w:rsidRDefault="00D744A9" w:rsidP="0031077E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127" w:type="dxa"/>
            <w:vMerge w:val="restart"/>
          </w:tcPr>
          <w:p w:rsidR="00D744A9" w:rsidRDefault="00D744A9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70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Білім басқармасы, </w:t>
            </w:r>
          </w:p>
          <w:p w:rsidR="00D744A9" w:rsidRPr="00737030" w:rsidRDefault="00D744A9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70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ұйымдары,</w:t>
            </w:r>
          </w:p>
          <w:p w:rsidR="00D744A9" w:rsidRPr="009A67E8" w:rsidRDefault="00D744A9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СЖҚІҚАД</w:t>
            </w:r>
          </w:p>
        </w:tc>
        <w:tc>
          <w:tcPr>
            <w:tcW w:w="1984" w:type="dxa"/>
            <w:vMerge w:val="restart"/>
          </w:tcPr>
          <w:p w:rsidR="00D744A9" w:rsidRPr="00737030" w:rsidRDefault="00D744A9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Бұ</w:t>
            </w:r>
            <w:proofErr w:type="gram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йры</w:t>
            </w:r>
            <w:proofErr w:type="gram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ққа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кәсіподақ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ұйымының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ата-аналар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сарапшылар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қоғамының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өкілдерін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педагогтерді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қосу</w:t>
            </w:r>
            <w:proofErr w:type="spellEnd"/>
          </w:p>
        </w:tc>
      </w:tr>
      <w:tr w:rsidR="00D744A9" w:rsidRPr="00991706" w:rsidTr="007311BD">
        <w:trPr>
          <w:trHeight w:val="845"/>
        </w:trPr>
        <w:tc>
          <w:tcPr>
            <w:tcW w:w="710" w:type="dxa"/>
          </w:tcPr>
          <w:p w:rsidR="00D744A9" w:rsidRPr="00366A6A" w:rsidRDefault="00D744A9" w:rsidP="00D73A00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5.1</w:t>
            </w:r>
          </w:p>
        </w:tc>
        <w:tc>
          <w:tcPr>
            <w:tcW w:w="5273" w:type="dxa"/>
          </w:tcPr>
          <w:p w:rsidR="00D744A9" w:rsidRPr="00366A6A" w:rsidRDefault="00D744A9" w:rsidP="00D73A00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6A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білім беру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йымдары басшыларының ата-аналар қоғамымен </w:t>
            </w:r>
            <w:r w:rsidRPr="00366A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есептік кездесулерін өткізу</w:t>
            </w:r>
          </w:p>
        </w:tc>
        <w:tc>
          <w:tcPr>
            <w:tcW w:w="3260" w:type="dxa"/>
            <w:vMerge/>
          </w:tcPr>
          <w:p w:rsidR="00D744A9" w:rsidRPr="00366A6A" w:rsidRDefault="00D744A9" w:rsidP="003107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vMerge/>
          </w:tcPr>
          <w:p w:rsidR="00D744A9" w:rsidRPr="00366A6A" w:rsidRDefault="00D744A9" w:rsidP="003107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D744A9" w:rsidRPr="00366A6A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D744A9" w:rsidRPr="00366A6A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44A9" w:rsidRPr="009A67E8" w:rsidTr="007311BD">
        <w:trPr>
          <w:trHeight w:val="278"/>
        </w:trPr>
        <w:tc>
          <w:tcPr>
            <w:tcW w:w="710" w:type="dxa"/>
          </w:tcPr>
          <w:p w:rsidR="00D744A9" w:rsidRPr="009A67E8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73" w:type="dxa"/>
          </w:tcPr>
          <w:p w:rsidR="00D744A9" w:rsidRPr="009A67E8" w:rsidRDefault="00D744A9" w:rsidP="00D73A00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басқармасының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ресми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ресурсында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жемқорлыққа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бөлімін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өзектендіру</w:t>
            </w:r>
            <w:proofErr w:type="spellEnd"/>
          </w:p>
        </w:tc>
        <w:tc>
          <w:tcPr>
            <w:tcW w:w="3260" w:type="dxa"/>
            <w:vMerge w:val="restart"/>
          </w:tcPr>
          <w:p w:rsidR="00D744A9" w:rsidRPr="00D73A00" w:rsidRDefault="00D744A9" w:rsidP="00D73A00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басқармасының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техникалық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кәсіптік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беру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ұйымдарының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ресми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интернет-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ресурстарында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әлеуметтік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желілерінің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беттерінде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орналастырылған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сұ</w:t>
            </w:r>
            <w:proofErr w:type="gram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хбаттар</w:t>
            </w:r>
            <w:proofErr w:type="gram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ға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тезистердің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мәтіндеріне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сілтеме</w:t>
            </w:r>
            <w:proofErr w:type="spellEnd"/>
          </w:p>
          <w:p w:rsidR="00D744A9" w:rsidRPr="00D73A00" w:rsidRDefault="00D744A9" w:rsidP="00366A6A">
            <w:pPr>
              <w:spacing w:line="24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A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СЖҚІҚАД</w:t>
            </w:r>
            <w:r w:rsidRPr="00D73A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білім беру мекемелерінің тізбесін көрсете отырып, тармақтардың орындалуы туралы жиынтық ақпарат</w:t>
            </w:r>
          </w:p>
        </w:tc>
        <w:tc>
          <w:tcPr>
            <w:tcW w:w="1814" w:type="dxa"/>
            <w:vMerge w:val="restart"/>
          </w:tcPr>
          <w:p w:rsidR="00D744A9" w:rsidRPr="00366A6A" w:rsidRDefault="00D744A9" w:rsidP="00366A6A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Тоқсан сайын</w:t>
            </w:r>
          </w:p>
          <w:p w:rsidR="00D744A9" w:rsidRPr="00991706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4A9" w:rsidRPr="00991706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4A9" w:rsidRPr="00991706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4A9" w:rsidRPr="00991706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4A9" w:rsidRPr="00366A6A" w:rsidRDefault="00D744A9" w:rsidP="00366A6A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  <w:p w:rsidR="00D744A9" w:rsidRPr="00991706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4A9" w:rsidRPr="00D73A00" w:rsidRDefault="00D744A9" w:rsidP="00D73A0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744A9" w:rsidRPr="00991706" w:rsidRDefault="00D744A9" w:rsidP="0031077E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744A9" w:rsidRPr="00D73A00" w:rsidRDefault="00D744A9" w:rsidP="00D73A00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Тоқсан сайын</w:t>
            </w:r>
          </w:p>
          <w:p w:rsidR="00D744A9" w:rsidRPr="00991706" w:rsidRDefault="00D744A9" w:rsidP="0031077E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744A9" w:rsidRPr="00991706" w:rsidRDefault="00D744A9" w:rsidP="0031077E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744A9" w:rsidRDefault="00D744A9" w:rsidP="0031077E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744A9" w:rsidRDefault="00D744A9" w:rsidP="0031077E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744A9" w:rsidRDefault="00D744A9" w:rsidP="0031077E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744A9" w:rsidRPr="00366A6A" w:rsidRDefault="00D744A9" w:rsidP="00D73A0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Тамыз</w:t>
            </w:r>
          </w:p>
          <w:p w:rsidR="00D744A9" w:rsidRPr="009A67E8" w:rsidRDefault="00D744A9" w:rsidP="0031077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D744A9" w:rsidRDefault="00D744A9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70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Білім басқармасы, </w:t>
            </w:r>
          </w:p>
          <w:p w:rsidR="00D744A9" w:rsidRPr="00737030" w:rsidRDefault="00D744A9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70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ұйымдары,</w:t>
            </w:r>
          </w:p>
          <w:p w:rsidR="00D744A9" w:rsidRPr="009A67E8" w:rsidRDefault="00D744A9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A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СЖҚІҚАД</w:t>
            </w:r>
          </w:p>
        </w:tc>
        <w:tc>
          <w:tcPr>
            <w:tcW w:w="1984" w:type="dxa"/>
            <w:vMerge w:val="restart"/>
          </w:tcPr>
          <w:p w:rsidR="00D744A9" w:rsidRPr="00737030" w:rsidRDefault="00D744A9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Сыбайлас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жемқорлық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тәуекелдерін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стандарттарды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ішкі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талдау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бюджет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қаражатын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жұмсау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бюджеттен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бөлінген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қаражат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туралы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және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игеру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барысы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туралы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қорытындылары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сыбайлас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жемқ</w:t>
            </w:r>
            <w:proofErr w:type="gram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орлы</w:t>
            </w:r>
            <w:proofErr w:type="gram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ққа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қарсы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тақырып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бойынша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мақалалар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тезистер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2022-2026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жылдарға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арналған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сыбайлас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жемқорлыққа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қарсы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саясат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тұжырымдамасын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іске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асыру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барысы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туралы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A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орналастыру</w:t>
            </w:r>
            <w:proofErr w:type="spellEnd"/>
          </w:p>
        </w:tc>
      </w:tr>
      <w:tr w:rsidR="00D744A9" w:rsidRPr="009A67E8" w:rsidTr="007311BD">
        <w:trPr>
          <w:trHeight w:val="278"/>
        </w:trPr>
        <w:tc>
          <w:tcPr>
            <w:tcW w:w="710" w:type="dxa"/>
          </w:tcPr>
          <w:p w:rsidR="00D744A9" w:rsidRPr="009A67E8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5273" w:type="dxa"/>
          </w:tcPr>
          <w:p w:rsidR="00D744A9" w:rsidRPr="00233B25" w:rsidRDefault="00D744A9" w:rsidP="00D73A0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Студенттермен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ұғалімдермен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TEDx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форматында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мұғалімдердің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, орта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колледж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студенттерінің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кездесулерін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олар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адалдықты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ілгерілету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идеяларын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ұсын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</w:t>
            </w:r>
          </w:p>
        </w:tc>
        <w:tc>
          <w:tcPr>
            <w:tcW w:w="3260" w:type="dxa"/>
            <w:vMerge/>
          </w:tcPr>
          <w:p w:rsidR="00D744A9" w:rsidRPr="009A67E8" w:rsidRDefault="00D744A9" w:rsidP="003107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744A9" w:rsidRPr="009A67E8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744A9" w:rsidRPr="009A67E8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744A9" w:rsidRPr="009A67E8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4A9" w:rsidRPr="009A67E8" w:rsidTr="007311BD">
        <w:trPr>
          <w:trHeight w:val="278"/>
        </w:trPr>
        <w:tc>
          <w:tcPr>
            <w:tcW w:w="710" w:type="dxa"/>
          </w:tcPr>
          <w:p w:rsidR="00D744A9" w:rsidRPr="009A67E8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6.2</w:t>
            </w:r>
          </w:p>
        </w:tc>
        <w:tc>
          <w:tcPr>
            <w:tcW w:w="5273" w:type="dxa"/>
          </w:tcPr>
          <w:p w:rsidR="00D744A9" w:rsidRPr="009A67E8" w:rsidRDefault="00D744A9" w:rsidP="00233B2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Парасаттылық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кадемиялық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адалдық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мәселелеріне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Адалдық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сағатын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3260" w:type="dxa"/>
            <w:vMerge/>
          </w:tcPr>
          <w:p w:rsidR="00D744A9" w:rsidRPr="009A67E8" w:rsidRDefault="00D744A9" w:rsidP="003107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744A9" w:rsidRPr="009A67E8" w:rsidRDefault="00D744A9" w:rsidP="0031077E">
            <w:pPr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744A9" w:rsidRPr="009A67E8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744A9" w:rsidRPr="009A67E8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4A9" w:rsidRPr="009A67E8" w:rsidTr="007311BD">
        <w:trPr>
          <w:trHeight w:val="278"/>
        </w:trPr>
        <w:tc>
          <w:tcPr>
            <w:tcW w:w="710" w:type="dxa"/>
          </w:tcPr>
          <w:p w:rsidR="00D744A9" w:rsidRPr="009A67E8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6.3</w:t>
            </w:r>
          </w:p>
        </w:tc>
        <w:tc>
          <w:tcPr>
            <w:tcW w:w="5273" w:type="dxa"/>
          </w:tcPr>
          <w:p w:rsidR="00D744A9" w:rsidRPr="00D73A00" w:rsidRDefault="00D744A9" w:rsidP="0099170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="00991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ілім басқармасы</w:t>
            </w:r>
            <w:bookmarkStart w:id="0" w:name="_GoBack"/>
            <w:bookmarkEnd w:id="0"/>
            <w:r w:rsidRPr="00D73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басшысының қатысуымен БАҚ және әлеуметтік желілерде сұхбат орналастыру</w:t>
            </w:r>
          </w:p>
        </w:tc>
        <w:tc>
          <w:tcPr>
            <w:tcW w:w="3260" w:type="dxa"/>
            <w:vMerge/>
          </w:tcPr>
          <w:p w:rsidR="00D744A9" w:rsidRPr="009A67E8" w:rsidRDefault="00D744A9" w:rsidP="003107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744A9" w:rsidRPr="009A67E8" w:rsidRDefault="00D744A9" w:rsidP="0031077E">
            <w:pPr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744A9" w:rsidRPr="009A67E8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744A9" w:rsidRPr="009A67E8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4A9" w:rsidRPr="009A67E8" w:rsidTr="007311BD">
        <w:trPr>
          <w:trHeight w:val="278"/>
        </w:trPr>
        <w:tc>
          <w:tcPr>
            <w:tcW w:w="710" w:type="dxa"/>
          </w:tcPr>
          <w:p w:rsidR="00D744A9" w:rsidRPr="009A67E8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6.4</w:t>
            </w:r>
          </w:p>
        </w:tc>
        <w:tc>
          <w:tcPr>
            <w:tcW w:w="5273" w:type="dxa"/>
          </w:tcPr>
          <w:p w:rsidR="00D744A9" w:rsidRPr="009A67E8" w:rsidRDefault="00D744A9" w:rsidP="0031077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Агенттіктің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аумақтық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департаменті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өкілінің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саласы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қызметкерлерінің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сайынғы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кеңесінде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сөйлеген</w:t>
            </w:r>
            <w:proofErr w:type="spellEnd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25">
              <w:rPr>
                <w:rFonts w:ascii="Times New Roman" w:hAnsi="Times New Roman" w:cs="Times New Roman"/>
                <w:sz w:val="24"/>
                <w:szCs w:val="24"/>
              </w:rPr>
              <w:t>сөзі</w:t>
            </w:r>
            <w:proofErr w:type="spellEnd"/>
          </w:p>
        </w:tc>
        <w:tc>
          <w:tcPr>
            <w:tcW w:w="3260" w:type="dxa"/>
            <w:vMerge/>
          </w:tcPr>
          <w:p w:rsidR="00D744A9" w:rsidRPr="009A67E8" w:rsidRDefault="00D744A9" w:rsidP="003107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744A9" w:rsidRPr="009A67E8" w:rsidRDefault="00D744A9" w:rsidP="0031077E">
            <w:pPr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744A9" w:rsidRPr="009A67E8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744A9" w:rsidRPr="009A67E8" w:rsidRDefault="00D744A9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1BD" w:rsidRPr="009A67E8" w:rsidTr="007311BD">
        <w:trPr>
          <w:trHeight w:val="278"/>
        </w:trPr>
        <w:tc>
          <w:tcPr>
            <w:tcW w:w="710" w:type="dxa"/>
          </w:tcPr>
          <w:p w:rsidR="007311BD" w:rsidRPr="009A67E8" w:rsidRDefault="007311BD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73" w:type="dxa"/>
          </w:tcPr>
          <w:p w:rsidR="007311BD" w:rsidRPr="009A67E8" w:rsidRDefault="007311BD" w:rsidP="00604458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Адалдық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D73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3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D73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сені</w:t>
            </w:r>
            <w:proofErr w:type="gramStart"/>
            <w:r w:rsidRPr="00D73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D73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телефонын</w:t>
            </w:r>
            <w:proofErr w:type="spellEnd"/>
            <w:r w:rsidRPr="00D73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23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3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D73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анонимді</w:t>
            </w:r>
            <w:proofErr w:type="spellEnd"/>
            <w:r w:rsidRPr="00D73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өтініш</w:t>
            </w:r>
            <w:proofErr w:type="spellEnd"/>
            <w:r w:rsidRPr="00D73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қорабын</w:t>
            </w:r>
            <w:proofErr w:type="spellEnd"/>
            <w:r w:rsidRPr="00D73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құру</w:t>
            </w:r>
            <w:proofErr w:type="spellEnd"/>
          </w:p>
        </w:tc>
        <w:tc>
          <w:tcPr>
            <w:tcW w:w="3260" w:type="dxa"/>
          </w:tcPr>
          <w:p w:rsidR="007311BD" w:rsidRPr="009A67E8" w:rsidRDefault="007311BD" w:rsidP="003107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A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СЖҚІҚАД</w:t>
            </w:r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беру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мекемелерінің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тізбесін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көрсете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отырып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тармақтардың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орындалуы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жиынтық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1814" w:type="dxa"/>
          </w:tcPr>
          <w:p w:rsidR="007311BD" w:rsidRPr="00366A6A" w:rsidRDefault="007311BD" w:rsidP="0031077E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тоқсан</w:t>
            </w:r>
          </w:p>
          <w:p w:rsidR="007311BD" w:rsidRDefault="007311BD" w:rsidP="0031077E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11BD" w:rsidRDefault="007311BD" w:rsidP="0031077E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11BD" w:rsidRPr="00571F65" w:rsidRDefault="007311BD" w:rsidP="0031077E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:rsidR="007311BD" w:rsidRPr="009A67E8" w:rsidRDefault="007311BD" w:rsidP="0031077E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311BD" w:rsidRDefault="007311BD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70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Білім басқармасы, </w:t>
            </w:r>
          </w:p>
          <w:p w:rsidR="007311BD" w:rsidRPr="00737030" w:rsidRDefault="007311BD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70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ұйымдары,</w:t>
            </w:r>
          </w:p>
          <w:p w:rsidR="007311BD" w:rsidRPr="009A67E8" w:rsidRDefault="007311BD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A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СЖҚІҚАД</w:t>
            </w:r>
          </w:p>
        </w:tc>
        <w:tc>
          <w:tcPr>
            <w:tcW w:w="1984" w:type="dxa"/>
          </w:tcPr>
          <w:p w:rsidR="007311BD" w:rsidRPr="00737030" w:rsidRDefault="00D744A9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Қалалық </w:t>
            </w:r>
            <w:proofErr w:type="spellStart"/>
            <w:r w:rsidRPr="00366A6A">
              <w:rPr>
                <w:rFonts w:ascii="Times New Roman" w:eastAsia="Calibri" w:hAnsi="Times New Roman" w:cs="Times New Roman"/>
                <w:sz w:val="24"/>
                <w:szCs w:val="24"/>
              </w:rPr>
              <w:t>деңгейде-сыбайлас</w:t>
            </w:r>
            <w:proofErr w:type="spellEnd"/>
            <w:r w:rsidRPr="00366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eastAsia="Calibri" w:hAnsi="Times New Roman" w:cs="Times New Roman"/>
                <w:sz w:val="24"/>
                <w:szCs w:val="24"/>
              </w:rPr>
              <w:t>жемқорлыққа</w:t>
            </w:r>
            <w:proofErr w:type="spellEnd"/>
            <w:r w:rsidRPr="00366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eastAsia="Calibri" w:hAnsi="Times New Roman" w:cs="Times New Roman"/>
                <w:sz w:val="24"/>
                <w:szCs w:val="24"/>
              </w:rPr>
              <w:t>қарсы</w:t>
            </w:r>
            <w:proofErr w:type="spellEnd"/>
            <w:r w:rsidRPr="00366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eastAsia="Calibri" w:hAnsi="Times New Roman" w:cs="Times New Roman"/>
                <w:sz w:val="24"/>
                <w:szCs w:val="24"/>
              </w:rPr>
              <w:t>қызмет</w:t>
            </w:r>
            <w:proofErr w:type="spellEnd"/>
            <w:r w:rsidRPr="00366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eastAsia="Calibri" w:hAnsi="Times New Roman" w:cs="Times New Roman"/>
                <w:sz w:val="24"/>
                <w:szCs w:val="24"/>
              </w:rPr>
              <w:t>өкілдерінің</w:t>
            </w:r>
            <w:proofErr w:type="spellEnd"/>
            <w:r w:rsidRPr="00366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eastAsia="Calibri" w:hAnsi="Times New Roman" w:cs="Times New Roman"/>
                <w:sz w:val="24"/>
                <w:szCs w:val="24"/>
              </w:rPr>
              <w:t>қатысуымен</w:t>
            </w:r>
            <w:proofErr w:type="spellEnd"/>
          </w:p>
        </w:tc>
      </w:tr>
      <w:tr w:rsidR="007311BD" w:rsidRPr="009A67E8" w:rsidTr="007311BD">
        <w:trPr>
          <w:trHeight w:val="278"/>
        </w:trPr>
        <w:tc>
          <w:tcPr>
            <w:tcW w:w="710" w:type="dxa"/>
          </w:tcPr>
          <w:p w:rsidR="007311BD" w:rsidRPr="009A67E8" w:rsidRDefault="007311BD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73" w:type="dxa"/>
          </w:tcPr>
          <w:p w:rsidR="007311BD" w:rsidRPr="009A67E8" w:rsidRDefault="007311BD" w:rsidP="0031077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458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604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458">
              <w:rPr>
                <w:rFonts w:ascii="Times New Roman" w:hAnsi="Times New Roman" w:cs="Times New Roman"/>
                <w:sz w:val="24"/>
                <w:szCs w:val="24"/>
              </w:rPr>
              <w:t>жемқорлыққа</w:t>
            </w:r>
            <w:proofErr w:type="spellEnd"/>
            <w:r w:rsidRPr="00604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458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604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458">
              <w:rPr>
                <w:rFonts w:ascii="Times New Roman" w:hAnsi="Times New Roman" w:cs="Times New Roman"/>
                <w:sz w:val="24"/>
                <w:szCs w:val="24"/>
              </w:rPr>
              <w:t>көшбасшы</w:t>
            </w:r>
            <w:proofErr w:type="spellEnd"/>
            <w:r w:rsidRPr="00604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458">
              <w:rPr>
                <w:rFonts w:ascii="Times New Roman" w:hAnsi="Times New Roman" w:cs="Times New Roman"/>
                <w:sz w:val="24"/>
                <w:szCs w:val="24"/>
              </w:rPr>
              <w:t>мектебін</w:t>
            </w:r>
            <w:proofErr w:type="spellEnd"/>
            <w:r w:rsidRPr="00604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458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3260" w:type="dxa"/>
          </w:tcPr>
          <w:p w:rsidR="007311BD" w:rsidRPr="007311BD" w:rsidRDefault="007311BD" w:rsidP="007311BD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басқармасының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техникалық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әсіптік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беру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ұйымдарының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ресми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интернет-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ресурстарында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әлеуметтік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желілерінің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беттерінде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орналастырылған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жарияланымдар</w:t>
            </w:r>
            <w:proofErr w:type="spellEnd"/>
          </w:p>
          <w:p w:rsidR="007311BD" w:rsidRPr="00991706" w:rsidRDefault="007311BD" w:rsidP="00366A6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7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Спикерлерді көрсететін іс-шара бағдарламасы</w:t>
            </w:r>
          </w:p>
        </w:tc>
        <w:tc>
          <w:tcPr>
            <w:tcW w:w="1814" w:type="dxa"/>
          </w:tcPr>
          <w:p w:rsidR="007311BD" w:rsidRDefault="007311BD" w:rsidP="003107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Кестеге сәйкес</w:t>
            </w:r>
          </w:p>
          <w:p w:rsidR="00633650" w:rsidRPr="00366A6A" w:rsidRDefault="00633650" w:rsidP="0031077E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(мамыр-тамыз 2025)   </w:t>
            </w:r>
          </w:p>
        </w:tc>
        <w:tc>
          <w:tcPr>
            <w:tcW w:w="2127" w:type="dxa"/>
          </w:tcPr>
          <w:p w:rsidR="007311BD" w:rsidRPr="00737030" w:rsidRDefault="007311BD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басқармасы</w:t>
            </w:r>
            <w:r w:rsidRPr="007370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:rsidR="007311BD" w:rsidRPr="009A67E8" w:rsidRDefault="00633650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A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СЖҚІҚАД</w:t>
            </w:r>
          </w:p>
        </w:tc>
        <w:tc>
          <w:tcPr>
            <w:tcW w:w="1984" w:type="dxa"/>
          </w:tcPr>
          <w:p w:rsidR="007311BD" w:rsidRDefault="00633650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Іс-шаралар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Өрлеу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біліктілікті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арттыру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ұлттық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орталығы</w:t>
            </w:r>
            <w:proofErr w:type="gram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"А</w:t>
            </w:r>
            <w:proofErr w:type="gram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жазғы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лагерьлері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жас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педагогтардың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жыл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сайынғы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слеттері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негізінде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өткізілуі</w:t>
            </w:r>
            <w:proofErr w:type="spellEnd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мүмкін</w:t>
            </w:r>
            <w:proofErr w:type="spellEnd"/>
          </w:p>
        </w:tc>
      </w:tr>
      <w:tr w:rsidR="007311BD" w:rsidRPr="009A67E8" w:rsidTr="007311BD">
        <w:trPr>
          <w:trHeight w:val="148"/>
        </w:trPr>
        <w:tc>
          <w:tcPr>
            <w:tcW w:w="710" w:type="dxa"/>
          </w:tcPr>
          <w:p w:rsidR="007311BD" w:rsidRPr="009A67E8" w:rsidRDefault="007311BD" w:rsidP="0031077E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273" w:type="dxa"/>
          </w:tcPr>
          <w:p w:rsidR="007311BD" w:rsidRPr="009A67E8" w:rsidRDefault="007311BD" w:rsidP="0031077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58">
              <w:rPr>
                <w:rFonts w:ascii="Times New Roman" w:hAnsi="Times New Roman"/>
                <w:sz w:val="24"/>
                <w:szCs w:val="24"/>
              </w:rPr>
              <w:t xml:space="preserve">Республика </w:t>
            </w:r>
            <w:proofErr w:type="spellStart"/>
            <w:r w:rsidRPr="00604458">
              <w:rPr>
                <w:rFonts w:ascii="Times New Roman" w:hAnsi="Times New Roman"/>
                <w:sz w:val="24"/>
                <w:szCs w:val="24"/>
              </w:rPr>
              <w:t>күніне</w:t>
            </w:r>
            <w:proofErr w:type="spellEnd"/>
            <w:r w:rsidRPr="00604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458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604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458">
              <w:rPr>
                <w:rFonts w:ascii="Times New Roman" w:hAnsi="Times New Roman"/>
                <w:sz w:val="24"/>
                <w:szCs w:val="24"/>
              </w:rPr>
              <w:t>сыбайлас</w:t>
            </w:r>
            <w:proofErr w:type="spellEnd"/>
            <w:r w:rsidRPr="00604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458">
              <w:rPr>
                <w:rFonts w:ascii="Times New Roman" w:hAnsi="Times New Roman"/>
                <w:sz w:val="24"/>
                <w:szCs w:val="24"/>
              </w:rPr>
              <w:t>жемқорлыққа</w:t>
            </w:r>
            <w:proofErr w:type="spellEnd"/>
            <w:r w:rsidRPr="00604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458">
              <w:rPr>
                <w:rFonts w:ascii="Times New Roman" w:hAnsi="Times New Roman"/>
                <w:sz w:val="24"/>
                <w:szCs w:val="24"/>
              </w:rPr>
              <w:t>қарсы</w:t>
            </w:r>
            <w:proofErr w:type="spellEnd"/>
            <w:r w:rsidRPr="00604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458">
              <w:rPr>
                <w:rFonts w:ascii="Times New Roman" w:hAnsi="Times New Roman"/>
                <w:sz w:val="24"/>
                <w:szCs w:val="24"/>
              </w:rPr>
              <w:t>тақырыпта</w:t>
            </w:r>
            <w:proofErr w:type="spellEnd"/>
            <w:r w:rsidRPr="00604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458">
              <w:rPr>
                <w:rFonts w:ascii="Times New Roman" w:hAnsi="Times New Roman"/>
                <w:sz w:val="24"/>
                <w:szCs w:val="24"/>
              </w:rPr>
              <w:t>оқушылар</w:t>
            </w:r>
            <w:proofErr w:type="spellEnd"/>
            <w:r w:rsidRPr="00604458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604458">
              <w:rPr>
                <w:rFonts w:ascii="Times New Roman" w:hAnsi="Times New Roman"/>
                <w:sz w:val="24"/>
                <w:szCs w:val="24"/>
              </w:rPr>
              <w:t>студенттер</w:t>
            </w:r>
            <w:proofErr w:type="spellEnd"/>
            <w:r w:rsidRPr="00604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458">
              <w:rPr>
                <w:rFonts w:ascii="Times New Roman" w:hAnsi="Times New Roman"/>
                <w:sz w:val="24"/>
                <w:szCs w:val="24"/>
              </w:rPr>
              <w:t>арасында</w:t>
            </w:r>
            <w:proofErr w:type="spellEnd"/>
            <w:r w:rsidRPr="00604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458">
              <w:rPr>
                <w:rFonts w:ascii="Times New Roman" w:hAnsi="Times New Roman"/>
                <w:sz w:val="24"/>
                <w:szCs w:val="24"/>
              </w:rPr>
              <w:t>пікірталас</w:t>
            </w:r>
            <w:proofErr w:type="spellEnd"/>
            <w:r w:rsidRPr="00604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458">
              <w:rPr>
                <w:rFonts w:ascii="Times New Roman" w:hAnsi="Times New Roman"/>
                <w:sz w:val="24"/>
                <w:szCs w:val="24"/>
              </w:rPr>
              <w:t>турнирін</w:t>
            </w:r>
            <w:proofErr w:type="spellEnd"/>
            <w:r w:rsidRPr="00604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458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3260" w:type="dxa"/>
          </w:tcPr>
          <w:p w:rsidR="007311BD" w:rsidRPr="009A67E8" w:rsidRDefault="007311BD" w:rsidP="003107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басқармасының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ресми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интернет-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ресурстарында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әлеуметтік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желілер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беттерінде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жарияланған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жарияланымдар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анонстар</w:t>
            </w:r>
            <w:proofErr w:type="spellEnd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36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қорытындылар</w:t>
            </w:r>
            <w:proofErr w:type="spellEnd"/>
          </w:p>
        </w:tc>
        <w:tc>
          <w:tcPr>
            <w:tcW w:w="1814" w:type="dxa"/>
          </w:tcPr>
          <w:p w:rsidR="007311BD" w:rsidRPr="00366A6A" w:rsidRDefault="007311BD" w:rsidP="0031077E">
            <w:pPr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Қыркүйек-қазан</w:t>
            </w:r>
          </w:p>
        </w:tc>
        <w:tc>
          <w:tcPr>
            <w:tcW w:w="2127" w:type="dxa"/>
          </w:tcPr>
          <w:p w:rsidR="007311BD" w:rsidRPr="00737030" w:rsidRDefault="007311BD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басқармасы</w:t>
            </w:r>
            <w:r w:rsidRPr="007370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:rsidR="007311BD" w:rsidRPr="009A67E8" w:rsidRDefault="00633650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A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СЖҚІҚАД</w:t>
            </w:r>
          </w:p>
        </w:tc>
        <w:tc>
          <w:tcPr>
            <w:tcW w:w="1984" w:type="dxa"/>
          </w:tcPr>
          <w:p w:rsidR="007311BD" w:rsidRDefault="00633650" w:rsidP="00604458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36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Қарарлар қоғамның өзекті тақырыптарында болуы керек (Сыбайл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жемқорлыққа қарсы іс-қимыл, а</w:t>
            </w:r>
            <w:r w:rsidRPr="006336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кадемиялық адалдық және т.б.)</w:t>
            </w:r>
          </w:p>
        </w:tc>
      </w:tr>
    </w:tbl>
    <w:p w:rsidR="0052745F" w:rsidRDefault="0052745F" w:rsidP="0052745F">
      <w:pPr>
        <w:pStyle w:val="a5"/>
        <w:jc w:val="both"/>
      </w:pPr>
    </w:p>
    <w:p w:rsidR="00487943" w:rsidRDefault="00487943" w:rsidP="00A4362A">
      <w:pPr>
        <w:pStyle w:val="a5"/>
        <w:jc w:val="both"/>
        <w:rPr>
          <w:rFonts w:ascii="Arial" w:hAnsi="Arial" w:cs="Arial"/>
          <w:sz w:val="28"/>
          <w:szCs w:val="28"/>
          <w:lang w:val="kk-KZ"/>
        </w:rPr>
      </w:pPr>
    </w:p>
    <w:p w:rsidR="003F6BC8" w:rsidRPr="00F96154" w:rsidRDefault="003F6BC8" w:rsidP="00A4362A">
      <w:pPr>
        <w:pStyle w:val="a5"/>
        <w:jc w:val="both"/>
        <w:rPr>
          <w:lang w:val="kk-KZ"/>
        </w:rPr>
      </w:pPr>
    </w:p>
    <w:sectPr w:rsidR="003F6BC8" w:rsidRPr="00F96154" w:rsidSect="00461BB9">
      <w:headerReference w:type="default" r:id="rId7"/>
      <w:pgSz w:w="16838" w:h="11906" w:orient="landscape"/>
      <w:pgMar w:top="426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AAD" w:rsidRDefault="00C94AAD">
      <w:pPr>
        <w:spacing w:line="240" w:lineRule="auto"/>
      </w:pPr>
      <w:r>
        <w:separator/>
      </w:r>
    </w:p>
  </w:endnote>
  <w:endnote w:type="continuationSeparator" w:id="0">
    <w:p w:rsidR="00C94AAD" w:rsidRDefault="00C94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AAD" w:rsidRDefault="00C94AAD">
      <w:pPr>
        <w:spacing w:line="240" w:lineRule="auto"/>
      </w:pPr>
      <w:r>
        <w:separator/>
      </w:r>
    </w:p>
  </w:footnote>
  <w:footnote w:type="continuationSeparator" w:id="0">
    <w:p w:rsidR="00C94AAD" w:rsidRDefault="00C94A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475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26B2F" w:rsidRPr="00C82816" w:rsidRDefault="00926B2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28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28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28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170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828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26B2F" w:rsidRPr="00815A23" w:rsidRDefault="00926B2F" w:rsidP="00926B2F">
    <w:pPr>
      <w:pStyle w:val="a3"/>
      <w:ind w:firstLine="0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05"/>
    <w:rsid w:val="00021271"/>
    <w:rsid w:val="0006616B"/>
    <w:rsid w:val="00074F39"/>
    <w:rsid w:val="000A7AEC"/>
    <w:rsid w:val="0013470C"/>
    <w:rsid w:val="00166BA5"/>
    <w:rsid w:val="001849FC"/>
    <w:rsid w:val="00223771"/>
    <w:rsid w:val="00233B25"/>
    <w:rsid w:val="002A6D88"/>
    <w:rsid w:val="002F32E8"/>
    <w:rsid w:val="0031077E"/>
    <w:rsid w:val="00330F47"/>
    <w:rsid w:val="0034040E"/>
    <w:rsid w:val="003534E3"/>
    <w:rsid w:val="00366A6A"/>
    <w:rsid w:val="003E29CF"/>
    <w:rsid w:val="003F6BC8"/>
    <w:rsid w:val="00461BB9"/>
    <w:rsid w:val="00487943"/>
    <w:rsid w:val="004943E4"/>
    <w:rsid w:val="004A2B1A"/>
    <w:rsid w:val="0052745F"/>
    <w:rsid w:val="00571F65"/>
    <w:rsid w:val="00583D54"/>
    <w:rsid w:val="00604458"/>
    <w:rsid w:val="00633650"/>
    <w:rsid w:val="00640CC7"/>
    <w:rsid w:val="0069365A"/>
    <w:rsid w:val="00694EEA"/>
    <w:rsid w:val="00724731"/>
    <w:rsid w:val="007311BD"/>
    <w:rsid w:val="00737030"/>
    <w:rsid w:val="00750D9B"/>
    <w:rsid w:val="007D74B4"/>
    <w:rsid w:val="007F2CC9"/>
    <w:rsid w:val="007F64BB"/>
    <w:rsid w:val="00800C15"/>
    <w:rsid w:val="00813705"/>
    <w:rsid w:val="00861039"/>
    <w:rsid w:val="00861F8E"/>
    <w:rsid w:val="009211A1"/>
    <w:rsid w:val="00926B2F"/>
    <w:rsid w:val="00991706"/>
    <w:rsid w:val="00996163"/>
    <w:rsid w:val="009A67E8"/>
    <w:rsid w:val="009C7696"/>
    <w:rsid w:val="009E2ECB"/>
    <w:rsid w:val="009F0A10"/>
    <w:rsid w:val="00A2728F"/>
    <w:rsid w:val="00A4362A"/>
    <w:rsid w:val="00A96647"/>
    <w:rsid w:val="00AD711A"/>
    <w:rsid w:val="00B915B0"/>
    <w:rsid w:val="00B97A62"/>
    <w:rsid w:val="00BE4A80"/>
    <w:rsid w:val="00C42D43"/>
    <w:rsid w:val="00C94AAD"/>
    <w:rsid w:val="00CA56F7"/>
    <w:rsid w:val="00D20118"/>
    <w:rsid w:val="00D22C4D"/>
    <w:rsid w:val="00D73A00"/>
    <w:rsid w:val="00D744A9"/>
    <w:rsid w:val="00DE00E9"/>
    <w:rsid w:val="00DE0ED5"/>
    <w:rsid w:val="00DF61AA"/>
    <w:rsid w:val="00E2798B"/>
    <w:rsid w:val="00E337C5"/>
    <w:rsid w:val="00F32F50"/>
    <w:rsid w:val="00F60A7F"/>
    <w:rsid w:val="00F7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2F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B2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6B2F"/>
  </w:style>
  <w:style w:type="paragraph" w:styleId="a5">
    <w:name w:val="No Spacing"/>
    <w:uiPriority w:val="1"/>
    <w:qFormat/>
    <w:rsid w:val="00926B2F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926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926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74F3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F39"/>
  </w:style>
  <w:style w:type="paragraph" w:styleId="a9">
    <w:name w:val="Balloon Text"/>
    <w:basedOn w:val="a"/>
    <w:link w:val="aa"/>
    <w:uiPriority w:val="99"/>
    <w:semiHidden/>
    <w:unhideWhenUsed/>
    <w:rsid w:val="00F60A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0A7F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52745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2F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B2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6B2F"/>
  </w:style>
  <w:style w:type="paragraph" w:styleId="a5">
    <w:name w:val="No Spacing"/>
    <w:uiPriority w:val="1"/>
    <w:qFormat/>
    <w:rsid w:val="00926B2F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926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926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74F3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F39"/>
  </w:style>
  <w:style w:type="paragraph" w:styleId="a9">
    <w:name w:val="Balloon Text"/>
    <w:basedOn w:val="a"/>
    <w:link w:val="aa"/>
    <w:uiPriority w:val="99"/>
    <w:semiHidden/>
    <w:unhideWhenUsed/>
    <w:rsid w:val="00F60A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0A7F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5274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Ерлик Икласов</dc:creator>
  <cp:keywords/>
  <dc:description/>
  <cp:lastModifiedBy>Лариса Темирлина</cp:lastModifiedBy>
  <cp:revision>9</cp:revision>
  <cp:lastPrinted>2025-02-14T07:16:00Z</cp:lastPrinted>
  <dcterms:created xsi:type="dcterms:W3CDTF">2025-01-30T10:27:00Z</dcterms:created>
  <dcterms:modified xsi:type="dcterms:W3CDTF">2025-02-14T07:16:00Z</dcterms:modified>
</cp:coreProperties>
</file>